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D82698">
        <w:rPr>
          <w:sz w:val="28"/>
        </w:rPr>
        <w:t>623</w:t>
      </w:r>
      <w:r>
        <w:rPr>
          <w:sz w:val="28"/>
        </w:rPr>
        <w:t>-2201/2025</w:t>
      </w:r>
    </w:p>
    <w:p w:rsidR="009322E9" w:rsidRPr="007E1A10" w:rsidP="009322E9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7E1A10" w:rsidR="007E1A10">
        <w:rPr>
          <w:sz w:val="28"/>
        </w:rPr>
        <w:t>*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 xml:space="preserve">г.Нягань ХМАО-Югры                                                       </w:t>
      </w:r>
      <w:r w:rsidR="00D82698">
        <w:rPr>
          <w:sz w:val="28"/>
        </w:rPr>
        <w:t>16 мая</w:t>
      </w:r>
      <w:r>
        <w:rPr>
          <w:sz w:val="28"/>
        </w:rPr>
        <w:t xml:space="preserve">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Волкова Л.Г., </w:t>
      </w:r>
    </w:p>
    <w:p w:rsidR="00C10FE6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Хакимова В.Н., 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82698">
        <w:rPr>
          <w:sz w:val="28"/>
        </w:rPr>
        <w:t xml:space="preserve">Хакимова </w:t>
      </w:r>
      <w:r w:rsidR="00D82698">
        <w:rPr>
          <w:sz w:val="28"/>
        </w:rPr>
        <w:t>Вохидджона</w:t>
      </w:r>
      <w:r w:rsidR="00D82698">
        <w:rPr>
          <w:sz w:val="28"/>
        </w:rPr>
        <w:t xml:space="preserve"> </w:t>
      </w:r>
      <w:r w:rsidR="00D82698">
        <w:rPr>
          <w:sz w:val="28"/>
        </w:rPr>
        <w:t>Набиджоновича</w:t>
      </w:r>
      <w:r>
        <w:rPr>
          <w:sz w:val="28"/>
        </w:rPr>
        <w:t xml:space="preserve">, </w:t>
      </w:r>
      <w:r w:rsidRPr="007E1A10" w:rsidR="007E1A10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Pr="007E1A10" w:rsidR="007E1A10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Pr="007E1A10" w:rsidR="007E1A10">
        <w:rPr>
          <w:sz w:val="28"/>
        </w:rPr>
        <w:t>*</w:t>
      </w:r>
      <w:r>
        <w:rPr>
          <w:sz w:val="28"/>
        </w:rPr>
        <w:t>,</w:t>
      </w:r>
      <w:r w:rsidR="006A77C4">
        <w:rPr>
          <w:sz w:val="28"/>
        </w:rPr>
        <w:t xml:space="preserve"> не</w:t>
      </w:r>
      <w:r w:rsidR="00C81FB8">
        <w:rPr>
          <w:sz w:val="28"/>
        </w:rPr>
        <w:t xml:space="preserve"> </w:t>
      </w:r>
      <w:r>
        <w:rPr>
          <w:sz w:val="28"/>
        </w:rPr>
        <w:t xml:space="preserve">работающего, зарегистрированного и проживающего по адресу: ХМАО-Югра, </w:t>
      </w:r>
      <w:r w:rsidRPr="007E1A10" w:rsidR="007E1A10">
        <w:rPr>
          <w:sz w:val="28"/>
        </w:rPr>
        <w:t>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jc w:val="center"/>
        <w:rPr>
          <w:sz w:val="28"/>
        </w:rPr>
      </w:pP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06 мая 2025 года в 10</w:t>
      </w:r>
      <w:r>
        <w:rPr>
          <w:sz w:val="28"/>
        </w:rPr>
        <w:t xml:space="preserve"> час</w:t>
      </w:r>
      <w:r w:rsidR="00415650"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27</w:t>
      </w:r>
      <w:r>
        <w:rPr>
          <w:sz w:val="28"/>
        </w:rPr>
        <w:t xml:space="preserve"> минут на перекрестке </w:t>
      </w:r>
      <w:r w:rsidR="006A77C4">
        <w:rPr>
          <w:sz w:val="28"/>
        </w:rPr>
        <w:t xml:space="preserve">проспекта </w:t>
      </w:r>
      <w:r w:rsidRPr="007E1A10" w:rsidR="007E1A10">
        <w:rPr>
          <w:sz w:val="28"/>
        </w:rPr>
        <w:t>*</w:t>
      </w:r>
      <w:r>
        <w:rPr>
          <w:sz w:val="28"/>
        </w:rPr>
        <w:t xml:space="preserve"> ХМАО-Югры </w:t>
      </w:r>
      <w:r>
        <w:rPr>
          <w:sz w:val="28"/>
        </w:rPr>
        <w:t>Хакимов В.Н</w:t>
      </w:r>
      <w:r>
        <w:rPr>
          <w:sz w:val="28"/>
        </w:rPr>
        <w:t xml:space="preserve">., управляя транспортным средством </w:t>
      </w:r>
      <w:r w:rsidRPr="007E1A10" w:rsidR="007E1A10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Pr="007E1A10" w:rsidR="007E1A10">
        <w:rPr>
          <w:sz w:val="28"/>
        </w:rPr>
        <w:t>*</w:t>
      </w:r>
      <w:r>
        <w:rPr>
          <w:sz w:val="28"/>
        </w:rPr>
        <w:t xml:space="preserve"> на запрещающий «желтый» сигнал светофора, тем самым нарушил пункты 6.2, 6.13 Правил дорожного движения Российской Федерации, повторно в течение года.</w:t>
      </w:r>
    </w:p>
    <w:p w:rsidR="00477A3D" w:rsidP="00415650">
      <w:pPr>
        <w:pStyle w:val="BodyTextIndent"/>
        <w:spacing w:after="0"/>
        <w:ind w:left="0"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</w:t>
      </w:r>
      <w:r w:rsidR="00D82698">
        <w:rPr>
          <w:sz w:val="28"/>
        </w:rPr>
        <w:t>Хакимов В.Н</w:t>
      </w:r>
      <w:r>
        <w:rPr>
          <w:sz w:val="28"/>
        </w:rPr>
        <w:t>.</w:t>
      </w:r>
      <w:r>
        <w:rPr>
          <w:sz w:val="28"/>
        </w:rPr>
        <w:t xml:space="preserve">  с протоколом согласился, вину признал полностью, пояснил, что выехал на перекресток на разрешающий сигнал светофора, и не успел его проехать, когда включился желтый свет. </w:t>
      </w:r>
      <w:r>
        <w:rPr>
          <w:sz w:val="28"/>
          <w:szCs w:val="28"/>
        </w:rPr>
        <w:t xml:space="preserve"> 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 xml:space="preserve">Изучив материалы дела, </w:t>
      </w:r>
      <w:r w:rsidR="00415650">
        <w:rPr>
          <w:color w:val="auto"/>
          <w:sz w:val="28"/>
        </w:rPr>
        <w:t xml:space="preserve">заслушав Хакимова В.Н., </w:t>
      </w:r>
      <w:r w:rsidR="00D11E20">
        <w:rPr>
          <w:sz w:val="28"/>
        </w:rPr>
        <w:t>мировой судья находит</w:t>
      </w:r>
      <w:r w:rsidR="00415650">
        <w:rPr>
          <w:sz w:val="28"/>
        </w:rPr>
        <w:t xml:space="preserve"> его</w:t>
      </w:r>
      <w:r w:rsidR="00CD6579">
        <w:rPr>
          <w:sz w:val="28"/>
        </w:rPr>
        <w:t xml:space="preserve">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</w:t>
      </w:r>
      <w:r>
        <w:rPr>
          <w:sz w:val="28"/>
        </w:rPr>
        <w:t>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D82698">
        <w:rPr>
          <w:sz w:val="28"/>
        </w:rPr>
        <w:t>Хакимовым В.Н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D82698">
        <w:rPr>
          <w:sz w:val="28"/>
        </w:rPr>
        <w:t>Хакимова В.Н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Pr="007E1A10" w:rsidR="007E1A10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D82698">
        <w:rPr>
          <w:sz w:val="28"/>
        </w:rPr>
        <w:t>06 мая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D82698">
        <w:rPr>
          <w:sz w:val="28"/>
        </w:rPr>
        <w:t>Хакимовым В.Н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D82698">
        <w:rPr>
          <w:spacing w:val="-1"/>
          <w:sz w:val="28"/>
        </w:rPr>
        <w:t>Хакимову В.Н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Pr="007E1A10" w:rsidR="007E1A10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 xml:space="preserve">ОМВД России по </w:t>
      </w:r>
      <w:r w:rsidR="009322E9">
        <w:rPr>
          <w:sz w:val="28"/>
        </w:rPr>
        <w:t>г.Нягани</w:t>
      </w:r>
      <w:r w:rsidR="00AE5E1A">
        <w:rPr>
          <w:sz w:val="28"/>
        </w:rPr>
        <w:t xml:space="preserve"> от </w:t>
      </w:r>
      <w:r w:rsidR="00D82698">
        <w:rPr>
          <w:sz w:val="28"/>
        </w:rPr>
        <w:t>01</w:t>
      </w:r>
      <w:r w:rsidR="006A77C4">
        <w:rPr>
          <w:sz w:val="28"/>
        </w:rPr>
        <w:t xml:space="preserve"> июля</w:t>
      </w:r>
      <w:r w:rsidR="009322E9">
        <w:rPr>
          <w:sz w:val="28"/>
        </w:rPr>
        <w:t xml:space="preserve"> 2024 </w:t>
      </w:r>
      <w:r>
        <w:rPr>
          <w:sz w:val="28"/>
        </w:rPr>
        <w:t xml:space="preserve">года, согласно которого </w:t>
      </w:r>
      <w:r w:rsidR="00D82698">
        <w:rPr>
          <w:sz w:val="28"/>
        </w:rPr>
        <w:t>Хакимов В.Н</w:t>
      </w:r>
      <w:r w:rsidR="00477A3D">
        <w:rPr>
          <w:sz w:val="28"/>
        </w:rPr>
        <w:t>.</w:t>
      </w:r>
      <w:r w:rsidR="00477A3D">
        <w:rPr>
          <w:b/>
          <w:sz w:val="28"/>
        </w:rPr>
        <w:t xml:space="preserve"> </w:t>
      </w:r>
      <w:r>
        <w:rPr>
          <w:sz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D82698">
        <w:rPr>
          <w:sz w:val="28"/>
        </w:rPr>
        <w:t>12</w:t>
      </w:r>
      <w:r w:rsidR="006A77C4">
        <w:rPr>
          <w:sz w:val="28"/>
        </w:rPr>
        <w:t xml:space="preserve"> июля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2E045C" w:rsidP="009322E9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D40BDF">
        <w:rPr>
          <w:color w:val="auto"/>
          <w:sz w:val="28"/>
        </w:rPr>
        <w:t xml:space="preserve">рапортом </w:t>
      </w:r>
      <w:r w:rsidR="00D40BDF">
        <w:rPr>
          <w:color w:val="auto"/>
          <w:sz w:val="28"/>
        </w:rPr>
        <w:t>ст.ИДПС</w:t>
      </w:r>
      <w:r w:rsidR="00D40BDF">
        <w:rPr>
          <w:color w:val="auto"/>
          <w:sz w:val="28"/>
        </w:rPr>
        <w:t xml:space="preserve"> ОВ ДПС ГИБДД ОМВД Росси по </w:t>
      </w:r>
      <w:r w:rsidR="00D40BDF">
        <w:rPr>
          <w:color w:val="auto"/>
          <w:sz w:val="28"/>
        </w:rPr>
        <w:t>г.Нягани</w:t>
      </w:r>
      <w:r w:rsidR="00D40BDF">
        <w:rPr>
          <w:color w:val="auto"/>
          <w:sz w:val="28"/>
        </w:rPr>
        <w:t xml:space="preserve"> М</w:t>
      </w:r>
      <w:r w:rsidRPr="007E1A10" w:rsidR="007E1A10">
        <w:rPr>
          <w:color w:val="auto"/>
          <w:sz w:val="28"/>
        </w:rPr>
        <w:t>*</w:t>
      </w:r>
      <w:r w:rsidR="00D40BDF">
        <w:rPr>
          <w:color w:val="auto"/>
          <w:sz w:val="28"/>
        </w:rPr>
        <w:t xml:space="preserve"> Д.А. от 06 мая 2025 года, согласно которого 06 мая 2025 года наход</w:t>
      </w:r>
      <w:r w:rsidR="00415650">
        <w:rPr>
          <w:color w:val="auto"/>
          <w:sz w:val="28"/>
        </w:rPr>
        <w:t>ились</w:t>
      </w:r>
      <w:r w:rsidR="00D40BDF">
        <w:rPr>
          <w:color w:val="auto"/>
          <w:sz w:val="28"/>
        </w:rPr>
        <w:t xml:space="preserve"> на проспекте </w:t>
      </w:r>
      <w:r w:rsidRPr="007E1A10" w:rsidR="007E1A10">
        <w:rPr>
          <w:color w:val="auto"/>
          <w:sz w:val="28"/>
        </w:rPr>
        <w:t>*</w:t>
      </w:r>
      <w:r w:rsidR="00D40BDF">
        <w:rPr>
          <w:color w:val="auto"/>
          <w:sz w:val="28"/>
        </w:rPr>
        <w:t xml:space="preserve">, </w:t>
      </w:r>
      <w:r w:rsidR="00415650">
        <w:rPr>
          <w:color w:val="auto"/>
          <w:sz w:val="28"/>
        </w:rPr>
        <w:t xml:space="preserve">в районе дома № </w:t>
      </w:r>
      <w:r w:rsidRPr="007E1A10" w:rsidR="007E1A10">
        <w:rPr>
          <w:color w:val="auto"/>
          <w:sz w:val="28"/>
        </w:rPr>
        <w:t>*</w:t>
      </w:r>
      <w:r w:rsidR="00D40BDF">
        <w:rPr>
          <w:color w:val="auto"/>
          <w:sz w:val="28"/>
        </w:rPr>
        <w:t xml:space="preserve">, </w:t>
      </w:r>
      <w:r w:rsidR="00415650">
        <w:rPr>
          <w:color w:val="auto"/>
          <w:sz w:val="28"/>
        </w:rPr>
        <w:t xml:space="preserve">когда </w:t>
      </w:r>
      <w:r w:rsidR="00D40BDF">
        <w:rPr>
          <w:color w:val="auto"/>
          <w:sz w:val="28"/>
        </w:rPr>
        <w:t xml:space="preserve">с улицы </w:t>
      </w:r>
      <w:r w:rsidRPr="007E1A10" w:rsidR="007E1A10">
        <w:rPr>
          <w:color w:val="auto"/>
          <w:sz w:val="28"/>
        </w:rPr>
        <w:t>*</w:t>
      </w:r>
      <w:r w:rsidR="00D40BDF">
        <w:rPr>
          <w:color w:val="auto"/>
          <w:sz w:val="28"/>
        </w:rPr>
        <w:t xml:space="preserve"> на запрещающий сигнал светофора проехала </w:t>
      </w:r>
      <w:r w:rsidRPr="007E1A10" w:rsidR="007E1A10">
        <w:rPr>
          <w:color w:val="auto"/>
          <w:sz w:val="28"/>
        </w:rPr>
        <w:t>*</w:t>
      </w:r>
      <w:r w:rsidR="00D40BDF">
        <w:rPr>
          <w:color w:val="auto"/>
          <w:sz w:val="28"/>
        </w:rPr>
        <w:t xml:space="preserve">, государственный регистрационный знак </w:t>
      </w:r>
      <w:r w:rsidR="007E1A10">
        <w:rPr>
          <w:color w:val="auto"/>
          <w:sz w:val="28"/>
          <w:lang w:val="en-US"/>
        </w:rPr>
        <w:t>*</w:t>
      </w:r>
      <w:r w:rsidR="00D40BDF">
        <w:rPr>
          <w:sz w:val="28"/>
        </w:rPr>
        <w:t xml:space="preserve"> и выполнил</w:t>
      </w:r>
      <w:r w:rsidR="00415650">
        <w:rPr>
          <w:sz w:val="28"/>
        </w:rPr>
        <w:t>а</w:t>
      </w:r>
      <w:r w:rsidR="00D40BDF">
        <w:rPr>
          <w:sz w:val="28"/>
        </w:rPr>
        <w:t xml:space="preserve"> маневр поворот направо на проспект </w:t>
      </w:r>
      <w:r w:rsidR="007E1A10">
        <w:rPr>
          <w:sz w:val="28"/>
          <w:lang w:val="en-US"/>
        </w:rPr>
        <w:t>*</w:t>
      </w:r>
      <w:r w:rsidR="00D40BDF">
        <w:rPr>
          <w:sz w:val="28"/>
        </w:rPr>
        <w:t>, при этом водитель мог остановиться</w:t>
      </w:r>
      <w:r w:rsidR="00415650">
        <w:rPr>
          <w:sz w:val="28"/>
        </w:rPr>
        <w:t>,</w:t>
      </w:r>
      <w:r w:rsidR="00D40BDF">
        <w:rPr>
          <w:sz w:val="28"/>
        </w:rPr>
        <w:t xml:space="preserve"> не прибегая к экстренному торможению, так как скорость была небольшой, а состояние проезжей части сухое, после им было остановлено данное транспортное средство, под управлением водителя </w:t>
      </w:r>
      <w:r w:rsidR="00D40BDF">
        <w:rPr>
          <w:spacing w:val="-1"/>
          <w:sz w:val="28"/>
        </w:rPr>
        <w:t>Хакимова В.Н.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5650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Хакимовым В.Н. своей вины. 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Хакимова </w:t>
      </w:r>
      <w:r>
        <w:rPr>
          <w:sz w:val="28"/>
        </w:rPr>
        <w:t>Вохидджона</w:t>
      </w:r>
      <w:r>
        <w:rPr>
          <w:sz w:val="28"/>
        </w:rPr>
        <w:t xml:space="preserve"> </w:t>
      </w:r>
      <w:r>
        <w:rPr>
          <w:sz w:val="28"/>
        </w:rPr>
        <w:t>Набиджоновича</w:t>
      </w:r>
      <w:r w:rsidR="009322E9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D40BDF">
        <w:rPr>
          <w:sz w:val="28"/>
        </w:rPr>
        <w:t>2692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415650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E1A10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86BB3"/>
    <w:rsid w:val="001C25A3"/>
    <w:rsid w:val="001C3AE1"/>
    <w:rsid w:val="001D751F"/>
    <w:rsid w:val="001E77DD"/>
    <w:rsid w:val="00202E75"/>
    <w:rsid w:val="002136A6"/>
    <w:rsid w:val="00255810"/>
    <w:rsid w:val="002762D5"/>
    <w:rsid w:val="00280DDB"/>
    <w:rsid w:val="002D7D9E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415650"/>
    <w:rsid w:val="004430E1"/>
    <w:rsid w:val="0044679E"/>
    <w:rsid w:val="00457676"/>
    <w:rsid w:val="00463EEB"/>
    <w:rsid w:val="004679B1"/>
    <w:rsid w:val="00477A3D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A06FD"/>
    <w:rsid w:val="006A77C4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1A10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41FF"/>
    <w:rsid w:val="0091547C"/>
    <w:rsid w:val="009168C9"/>
    <w:rsid w:val="009322E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BF7237"/>
    <w:rsid w:val="00C03D04"/>
    <w:rsid w:val="00C10FE6"/>
    <w:rsid w:val="00C24760"/>
    <w:rsid w:val="00C430FB"/>
    <w:rsid w:val="00C81FB8"/>
    <w:rsid w:val="00CB3E88"/>
    <w:rsid w:val="00CD6579"/>
    <w:rsid w:val="00D039AD"/>
    <w:rsid w:val="00D11E20"/>
    <w:rsid w:val="00D40BDF"/>
    <w:rsid w:val="00D64F1A"/>
    <w:rsid w:val="00D82698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39F8-B966-4349-9B1F-49B6B73C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